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3C7" w:rsidRPr="004E33C7" w:rsidRDefault="004E33C7" w:rsidP="004E33C7">
      <w:pPr>
        <w:keepNext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33C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39C4D755" wp14:editId="4F85BD08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3C7" w:rsidRDefault="004E33C7" w:rsidP="004E33C7">
      <w:pPr>
        <w:keepNext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4E33C7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4E33C7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4E33C7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п.Горный</w:t>
      </w:r>
    </w:p>
    <w:p w:rsidR="00B04882" w:rsidRDefault="00B04882" w:rsidP="004E33C7">
      <w:pPr>
        <w:keepNext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Забайкальского края</w:t>
      </w:r>
    </w:p>
    <w:p w:rsidR="00B04882" w:rsidRPr="004E33C7" w:rsidRDefault="00B04882" w:rsidP="004E33C7">
      <w:pPr>
        <w:keepNext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4E33C7" w:rsidRPr="004E33C7" w:rsidRDefault="004E33C7" w:rsidP="004E33C7">
      <w:pPr>
        <w:spacing w:after="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p w:rsidR="004E33C7" w:rsidRPr="004E33C7" w:rsidRDefault="004E33C7" w:rsidP="004E33C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 w:rsidRPr="004E33C7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Р А С П О Р Я Ж Е Н И Е</w:t>
      </w:r>
    </w:p>
    <w:p w:rsidR="004E33C7" w:rsidRDefault="004E33C7" w:rsidP="004E33C7">
      <w:pPr>
        <w:tabs>
          <w:tab w:val="left" w:pos="3855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4E33C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4E33C7">
        <w:rPr>
          <w:rFonts w:ascii="Times New Roman" w:eastAsia="Calibri" w:hAnsi="Times New Roman" w:cs="Times New Roman"/>
          <w:sz w:val="28"/>
          <w:szCs w:val="28"/>
        </w:rPr>
        <w:tab/>
      </w:r>
    </w:p>
    <w:p w:rsidR="00B04882" w:rsidRPr="004E33C7" w:rsidRDefault="00B04882" w:rsidP="004E33C7">
      <w:pPr>
        <w:tabs>
          <w:tab w:val="left" w:pos="3855"/>
        </w:tabs>
        <w:spacing w:after="0" w:line="276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E33C7" w:rsidRPr="004E33C7" w:rsidRDefault="00F31A5F" w:rsidP="004E33C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B135D1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02 </w:t>
      </w:r>
      <w:r w:rsidR="00B135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33C7" w:rsidRPr="004E33C7">
        <w:rPr>
          <w:rFonts w:ascii="Times New Roman" w:eastAsia="Calibri" w:hAnsi="Times New Roman" w:cs="Times New Roman"/>
          <w:sz w:val="28"/>
          <w:szCs w:val="28"/>
        </w:rPr>
        <w:t>ию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 w:rsidR="004E33C7" w:rsidRPr="004E33C7">
        <w:rPr>
          <w:rFonts w:ascii="Times New Roman" w:eastAsia="Calibri" w:hAnsi="Times New Roman" w:cs="Times New Roman"/>
          <w:sz w:val="28"/>
          <w:szCs w:val="28"/>
        </w:rPr>
        <w:t>я</w:t>
      </w:r>
      <w:proofErr w:type="gramEnd"/>
      <w:r w:rsidR="004E33C7" w:rsidRPr="004E33C7">
        <w:rPr>
          <w:rFonts w:ascii="Times New Roman" w:eastAsia="Calibri" w:hAnsi="Times New Roman" w:cs="Times New Roman"/>
          <w:sz w:val="28"/>
          <w:szCs w:val="28"/>
        </w:rPr>
        <w:t xml:space="preserve"> 2026 года</w:t>
      </w:r>
      <w:r w:rsidR="004E33C7" w:rsidRPr="004E33C7">
        <w:rPr>
          <w:rFonts w:ascii="Times New Roman" w:eastAsia="Calibri" w:hAnsi="Times New Roman" w:cs="Times New Roman"/>
          <w:sz w:val="28"/>
          <w:szCs w:val="28"/>
        </w:rPr>
        <w:tab/>
      </w:r>
      <w:r w:rsidR="004E33C7" w:rsidRPr="004E33C7">
        <w:rPr>
          <w:rFonts w:ascii="Times New Roman" w:eastAsia="Calibri" w:hAnsi="Times New Roman" w:cs="Times New Roman"/>
          <w:sz w:val="28"/>
          <w:szCs w:val="28"/>
        </w:rPr>
        <w:tab/>
      </w:r>
      <w:r w:rsidR="004E33C7" w:rsidRPr="004E33C7"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="004E33C7" w:rsidRPr="004E33C7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№ 195</w:t>
      </w:r>
    </w:p>
    <w:p w:rsidR="00B135D1" w:rsidRDefault="00B135D1" w:rsidP="004E33C7">
      <w:pPr>
        <w:tabs>
          <w:tab w:val="center" w:pos="4677"/>
          <w:tab w:val="left" w:pos="6330"/>
          <w:tab w:val="left" w:pos="9633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3C7" w:rsidRPr="00B135D1" w:rsidRDefault="00B135D1" w:rsidP="004E33C7">
      <w:pPr>
        <w:tabs>
          <w:tab w:val="center" w:pos="4677"/>
          <w:tab w:val="left" w:pos="6330"/>
          <w:tab w:val="left" w:pos="9633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Горный </w:t>
      </w:r>
    </w:p>
    <w:p w:rsidR="00B135D1" w:rsidRPr="004E33C7" w:rsidRDefault="00B135D1" w:rsidP="004E33C7">
      <w:pPr>
        <w:tabs>
          <w:tab w:val="center" w:pos="4677"/>
          <w:tab w:val="left" w:pos="6330"/>
          <w:tab w:val="left" w:pos="9633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3C7" w:rsidRPr="004E33C7" w:rsidRDefault="004E33C7" w:rsidP="004E33C7">
      <w:pPr>
        <w:widowControl w:val="0"/>
        <w:tabs>
          <w:tab w:val="left" w:pos="2640"/>
        </w:tabs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33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Плана мероприятий по устранению неэффективных (невостребованных) налоговых льгот (налоговых расходов) и пониженных налоговых ставок по местным налогам, установленных в городском </w:t>
      </w:r>
      <w:proofErr w:type="gramStart"/>
      <w:r w:rsidRPr="004E33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округе</w:t>
      </w:r>
      <w:proofErr w:type="gramEnd"/>
      <w:r w:rsidRPr="004E33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ЗАТО п. Горный Забайкальского края</w:t>
      </w:r>
    </w:p>
    <w:p w:rsidR="004E33C7" w:rsidRPr="004E33C7" w:rsidRDefault="004E33C7" w:rsidP="004E33C7">
      <w:pPr>
        <w:widowControl w:val="0"/>
        <w:tabs>
          <w:tab w:val="left" w:pos="2640"/>
        </w:tabs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3C7" w:rsidRPr="004E33C7" w:rsidRDefault="004E33C7" w:rsidP="00F31A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3C7">
        <w:rPr>
          <w:rFonts w:ascii="Times New Roman" w:eastAsia="Calibri" w:hAnsi="Times New Roman" w:cs="Times New Roman"/>
          <w:sz w:val="28"/>
          <w:szCs w:val="28"/>
        </w:rPr>
        <w:t>В соответствии со статьей 160.1 Бюджетного кодекса Российской Федерации,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образований», распоряжением Правительства Забайкальского края от 29 июня 2017 года № 287-р (в редакциях от 22 мая 2018 года № 210-р, от 28 декабря 2018 года № 541-р, от 2 марта 2021 года № 35-р, от 10 апреля 2026 года № 39-р) «Об устранении неэффективных (невостребованных) налоговых льгот (пониженных ставок) по налогам, установленных законодательством Забайкальского края о налогах и сборах», в целях оптимизации налоговых расходов городского округа ЗАТО п. Горный Забайкальского края и увеличения доходной базы бюджета городского округа ЗАТО п. Горный Забайкальского края:</w:t>
      </w:r>
    </w:p>
    <w:p w:rsidR="004E33C7" w:rsidRPr="004E33C7" w:rsidRDefault="004E33C7" w:rsidP="00F31A5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3C7">
        <w:rPr>
          <w:rFonts w:ascii="Times New Roman" w:eastAsia="Calibri" w:hAnsi="Times New Roman" w:cs="Times New Roman"/>
          <w:sz w:val="28"/>
          <w:szCs w:val="28"/>
        </w:rPr>
        <w:t xml:space="preserve">Утвердить прилагаемый План мероприятий по устранению неэффективных (невостребованных) налоговых льгот (налоговых расходов) и пониженных налоговых ставок по местным налогам, установленных в городском </w:t>
      </w:r>
      <w:proofErr w:type="gramStart"/>
      <w:r w:rsidRPr="004E33C7">
        <w:rPr>
          <w:rFonts w:ascii="Times New Roman" w:eastAsia="Calibri" w:hAnsi="Times New Roman" w:cs="Times New Roman"/>
          <w:sz w:val="28"/>
          <w:szCs w:val="28"/>
        </w:rPr>
        <w:t>округе</w:t>
      </w:r>
      <w:proofErr w:type="gramEnd"/>
      <w:r w:rsidRPr="004E33C7">
        <w:rPr>
          <w:rFonts w:ascii="Times New Roman" w:eastAsia="Calibri" w:hAnsi="Times New Roman" w:cs="Times New Roman"/>
          <w:sz w:val="28"/>
          <w:szCs w:val="28"/>
        </w:rPr>
        <w:t xml:space="preserve"> ЗАТО п. Горный Забайкальского края (далее – План).</w:t>
      </w:r>
    </w:p>
    <w:p w:rsidR="004E33C7" w:rsidRPr="004E33C7" w:rsidRDefault="00B135D1" w:rsidP="00F31A5F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E33C7" w:rsidRPr="004E33C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настоящего распоряжения оставляю за собой.</w:t>
      </w:r>
    </w:p>
    <w:p w:rsidR="004E33C7" w:rsidRPr="004E33C7" w:rsidRDefault="004E33C7" w:rsidP="004E33C7">
      <w:pPr>
        <w:widowControl w:val="0"/>
        <w:tabs>
          <w:tab w:val="left" w:pos="0"/>
        </w:tabs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3C7" w:rsidRDefault="004E33C7" w:rsidP="004E33C7">
      <w:pPr>
        <w:widowControl w:val="0"/>
        <w:tabs>
          <w:tab w:val="left" w:pos="0"/>
        </w:tabs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5D1" w:rsidRPr="004E33C7" w:rsidRDefault="00B135D1" w:rsidP="004E33C7">
      <w:pPr>
        <w:widowControl w:val="0"/>
        <w:tabs>
          <w:tab w:val="left" w:pos="0"/>
        </w:tabs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3C7" w:rsidRPr="004E33C7" w:rsidRDefault="004E33C7" w:rsidP="004E33C7">
      <w:pPr>
        <w:widowControl w:val="0"/>
        <w:tabs>
          <w:tab w:val="left" w:pos="0"/>
        </w:tabs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E33C7" w:rsidRPr="004E33C7" w:rsidSect="00DF07F1">
          <w:headerReference w:type="default" r:id="rId8"/>
          <w:pgSz w:w="11906" w:h="16838"/>
          <w:pgMar w:top="1134" w:right="851" w:bottom="993" w:left="1701" w:header="709" w:footer="709" w:gutter="0"/>
          <w:cols w:space="720"/>
        </w:sectPr>
      </w:pPr>
      <w:proofErr w:type="gramStart"/>
      <w:r w:rsidRPr="004E33C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proofErr w:type="gramEnd"/>
      <w:r w:rsidRPr="004E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Pr="004E33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3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3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3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3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3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3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Т.В. Карнаух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E33C7" w:rsidRPr="004E33C7" w:rsidTr="009012EE">
        <w:tc>
          <w:tcPr>
            <w:tcW w:w="9606" w:type="dxa"/>
          </w:tcPr>
          <w:p w:rsidR="004E33C7" w:rsidRPr="004E33C7" w:rsidRDefault="004E33C7" w:rsidP="004E33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E33C7">
        <w:rPr>
          <w:rFonts w:ascii="Times New Roman" w:eastAsia="Calibri" w:hAnsi="Times New Roman" w:cs="Times New Roman"/>
          <w:sz w:val="28"/>
          <w:szCs w:val="28"/>
        </w:rPr>
        <w:t>Консультант отдела ОПКР администрации</w:t>
      </w: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E33C7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4E33C7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4E33C7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E33C7">
        <w:rPr>
          <w:rFonts w:ascii="Times New Roman" w:eastAsia="Calibri" w:hAnsi="Times New Roman" w:cs="Times New Roman"/>
          <w:sz w:val="28"/>
          <w:szCs w:val="28"/>
        </w:rPr>
        <w:t xml:space="preserve">____________ А.С. </w:t>
      </w:r>
      <w:proofErr w:type="spellStart"/>
      <w:r w:rsidRPr="004E33C7">
        <w:rPr>
          <w:rFonts w:ascii="Times New Roman" w:eastAsia="Calibri" w:hAnsi="Times New Roman" w:cs="Times New Roman"/>
          <w:sz w:val="28"/>
          <w:szCs w:val="28"/>
        </w:rPr>
        <w:t>Лядова</w:t>
      </w:r>
      <w:proofErr w:type="spellEnd"/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E33C7">
        <w:rPr>
          <w:rFonts w:ascii="Times New Roman" w:eastAsia="Calibri" w:hAnsi="Times New Roman" w:cs="Times New Roman"/>
          <w:sz w:val="28"/>
          <w:szCs w:val="28"/>
        </w:rPr>
        <w:t>«____» _________ 202___ г.</w:t>
      </w: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E33C7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E33C7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4E33C7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E33C7">
        <w:rPr>
          <w:rFonts w:ascii="Times New Roman" w:eastAsia="Calibri" w:hAnsi="Times New Roman" w:cs="Times New Roman"/>
          <w:sz w:val="28"/>
          <w:szCs w:val="28"/>
        </w:rPr>
        <w:t xml:space="preserve">________________ Л.В. Трагерюк </w:t>
      </w:r>
    </w:p>
    <w:p w:rsidR="004E33C7" w:rsidRPr="004E33C7" w:rsidRDefault="004E33C7" w:rsidP="004E33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E33C7">
        <w:rPr>
          <w:rFonts w:ascii="Times New Roman" w:eastAsia="Calibri" w:hAnsi="Times New Roman" w:cs="Times New Roman"/>
          <w:sz w:val="28"/>
          <w:szCs w:val="28"/>
        </w:rPr>
        <w:t>«___»______202__ г.</w:t>
      </w:r>
    </w:p>
    <w:p w:rsidR="004E33C7" w:rsidRP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E33C7" w:rsidRP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E33C7" w:rsidRP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33C7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4E33C7" w:rsidRPr="004E33C7" w:rsidRDefault="004E33C7" w:rsidP="004E33C7">
      <w:pPr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33C7">
        <w:rPr>
          <w:rFonts w:ascii="Times New Roman" w:eastAsia="Calibri" w:hAnsi="Times New Roman" w:cs="Times New Roman"/>
          <w:sz w:val="24"/>
          <w:szCs w:val="24"/>
        </w:rPr>
        <w:t>к распоряжению администрации городского</w:t>
      </w:r>
    </w:p>
    <w:p w:rsidR="004E33C7" w:rsidRP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E33C7">
        <w:rPr>
          <w:rFonts w:ascii="Times New Roman" w:eastAsia="Calibri" w:hAnsi="Times New Roman" w:cs="Times New Roman"/>
          <w:sz w:val="24"/>
          <w:szCs w:val="24"/>
        </w:rPr>
        <w:t>округа</w:t>
      </w:r>
      <w:proofErr w:type="gramEnd"/>
      <w:r w:rsidRPr="004E33C7">
        <w:rPr>
          <w:rFonts w:ascii="Times New Roman" w:eastAsia="Calibri" w:hAnsi="Times New Roman" w:cs="Times New Roman"/>
          <w:sz w:val="24"/>
          <w:szCs w:val="24"/>
        </w:rPr>
        <w:t xml:space="preserve"> ЗАТО п. Горный Забайкальского края</w:t>
      </w:r>
    </w:p>
    <w:p w:rsidR="004E33C7" w:rsidRP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33C7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F31A5F">
        <w:rPr>
          <w:rFonts w:ascii="Times New Roman" w:eastAsia="Calibri" w:hAnsi="Times New Roman" w:cs="Times New Roman"/>
          <w:sz w:val="24"/>
          <w:szCs w:val="24"/>
        </w:rPr>
        <w:t>02 июля 2026 г. 195</w:t>
      </w:r>
      <w:bookmarkStart w:id="0" w:name="_GoBack"/>
      <w:bookmarkEnd w:id="0"/>
    </w:p>
    <w:p w:rsidR="004E33C7" w:rsidRP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E33C7" w:rsidRP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E33C7" w:rsidRPr="004E33C7" w:rsidRDefault="004E33C7" w:rsidP="004E33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E33C7" w:rsidRPr="004E33C7" w:rsidRDefault="004E33C7" w:rsidP="004E33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33C7">
        <w:rPr>
          <w:rFonts w:ascii="Times New Roman" w:eastAsia="Calibri" w:hAnsi="Times New Roman" w:cs="Times New Roman"/>
          <w:b/>
          <w:sz w:val="28"/>
          <w:szCs w:val="28"/>
        </w:rPr>
        <w:t>ПЛАН</w:t>
      </w:r>
    </w:p>
    <w:p w:rsidR="004E33C7" w:rsidRPr="004E33C7" w:rsidRDefault="004E33C7" w:rsidP="004E33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33C7">
        <w:rPr>
          <w:rFonts w:ascii="Times New Roman" w:eastAsia="Calibri" w:hAnsi="Times New Roman" w:cs="Times New Roman"/>
          <w:b/>
          <w:sz w:val="28"/>
          <w:szCs w:val="28"/>
        </w:rPr>
        <w:t xml:space="preserve">мероприятий по устранению неэффективных </w:t>
      </w:r>
    </w:p>
    <w:p w:rsidR="004E33C7" w:rsidRPr="004E33C7" w:rsidRDefault="004E33C7" w:rsidP="004E33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33C7">
        <w:rPr>
          <w:rFonts w:ascii="Times New Roman" w:eastAsia="Calibri" w:hAnsi="Times New Roman" w:cs="Times New Roman"/>
          <w:b/>
          <w:sz w:val="28"/>
          <w:szCs w:val="28"/>
        </w:rPr>
        <w:t xml:space="preserve">(невостребованных) налоговых льгот (налоговых расходов) </w:t>
      </w:r>
    </w:p>
    <w:p w:rsidR="004E33C7" w:rsidRPr="004E33C7" w:rsidRDefault="004E33C7" w:rsidP="004E33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33C7">
        <w:rPr>
          <w:rFonts w:ascii="Times New Roman" w:eastAsia="Calibri" w:hAnsi="Times New Roman" w:cs="Times New Roman"/>
          <w:b/>
          <w:sz w:val="28"/>
          <w:szCs w:val="28"/>
        </w:rPr>
        <w:t xml:space="preserve">и пониженных налоговых ставок по местным налогам, установленных </w:t>
      </w:r>
    </w:p>
    <w:p w:rsidR="004E33C7" w:rsidRPr="004E33C7" w:rsidRDefault="004E33C7" w:rsidP="004E33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33C7">
        <w:rPr>
          <w:rFonts w:ascii="Times New Roman" w:eastAsia="Calibri" w:hAnsi="Times New Roman" w:cs="Times New Roman"/>
          <w:b/>
          <w:sz w:val="28"/>
          <w:szCs w:val="28"/>
        </w:rPr>
        <w:t xml:space="preserve">в городском </w:t>
      </w:r>
      <w:proofErr w:type="gramStart"/>
      <w:r w:rsidRPr="004E33C7">
        <w:rPr>
          <w:rFonts w:ascii="Times New Roman" w:eastAsia="Calibri" w:hAnsi="Times New Roman" w:cs="Times New Roman"/>
          <w:b/>
          <w:sz w:val="28"/>
          <w:szCs w:val="28"/>
        </w:rPr>
        <w:t>округе</w:t>
      </w:r>
      <w:proofErr w:type="gramEnd"/>
      <w:r w:rsidRPr="004E33C7">
        <w:rPr>
          <w:rFonts w:ascii="Times New Roman" w:eastAsia="Calibri" w:hAnsi="Times New Roman" w:cs="Times New Roman"/>
          <w:b/>
          <w:sz w:val="28"/>
          <w:szCs w:val="28"/>
        </w:rPr>
        <w:t xml:space="preserve"> ЗАТО п. Горный Забайкальского края</w:t>
      </w:r>
    </w:p>
    <w:p w:rsidR="004E33C7" w:rsidRDefault="004E33C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1" w:type="dxa"/>
        <w:tblLook w:val="04A0" w:firstRow="1" w:lastRow="0" w:firstColumn="1" w:lastColumn="0" w:noHBand="0" w:noVBand="1"/>
      </w:tblPr>
      <w:tblGrid>
        <w:gridCol w:w="704"/>
        <w:gridCol w:w="4253"/>
        <w:gridCol w:w="2336"/>
        <w:gridCol w:w="2337"/>
        <w:gridCol w:w="11"/>
      </w:tblGrid>
      <w:tr w:rsidR="004E33C7" w:rsidRPr="004E33C7" w:rsidTr="004E33C7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4E33C7" w:rsidRPr="004E33C7" w:rsidRDefault="004E33C7" w:rsidP="004E3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336" w:type="dxa"/>
          </w:tcPr>
          <w:p w:rsidR="004E33C7" w:rsidRPr="004E33C7" w:rsidRDefault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337" w:type="dxa"/>
          </w:tcPr>
          <w:p w:rsidR="004E33C7" w:rsidRPr="004E33C7" w:rsidRDefault="004E33C7" w:rsidP="004E3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4E33C7" w:rsidRPr="004E33C7" w:rsidTr="004E33C7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4E33C7" w:rsidRPr="004E33C7" w:rsidRDefault="004E33C7" w:rsidP="004E3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</w:tcPr>
          <w:p w:rsidR="004E33C7" w:rsidRPr="004E33C7" w:rsidRDefault="004E33C7" w:rsidP="004E3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:rsidR="004E33C7" w:rsidRPr="004E33C7" w:rsidRDefault="004E33C7" w:rsidP="004E3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33C7" w:rsidRPr="004E33C7" w:rsidTr="004E33C7">
        <w:tc>
          <w:tcPr>
            <w:tcW w:w="9641" w:type="dxa"/>
            <w:gridSpan w:val="5"/>
          </w:tcPr>
          <w:p w:rsidR="004E33C7" w:rsidRPr="004E33C7" w:rsidRDefault="004E33C7" w:rsidP="004E33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Налоговые льготы (пониженные ставки) по местным налогам, предоставляемые органами местного самоуправления городского </w:t>
            </w:r>
            <w:proofErr w:type="gramStart"/>
            <w:r w:rsidRPr="004E33C7">
              <w:rPr>
                <w:rFonts w:ascii="Times New Roman" w:hAnsi="Times New Roman" w:cs="Times New Roman"/>
                <w:b/>
                <w:sz w:val="24"/>
                <w:szCs w:val="24"/>
              </w:rPr>
              <w:t>округа</w:t>
            </w:r>
            <w:proofErr w:type="gramEnd"/>
            <w:r w:rsidRPr="004E3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ЗАТО п. Горный Забайкальского края</w:t>
            </w:r>
          </w:p>
        </w:tc>
      </w:tr>
      <w:tr w:rsidR="004E33C7" w:rsidRPr="004E33C7" w:rsidTr="004E33C7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253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Проведение анализа эффективности действующих налоговых льгот (налоговых расходов) по местным налогам (земельный налог, налог на имущество физических лиц) в соответствии с Постановлением Правительства РФ от 22.06.2019 № 796</w:t>
            </w:r>
          </w:p>
        </w:tc>
        <w:tc>
          <w:tcPr>
            <w:tcW w:w="2336" w:type="dxa"/>
            <w:shd w:val="clear" w:color="auto" w:fill="FFFFFF"/>
            <w:vAlign w:val="center"/>
          </w:tcPr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Ежегодно до 1 августа года, следующего за отч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тным</w:t>
            </w: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Pr="000A7136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7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финансам </w:t>
            </w:r>
            <w:proofErr w:type="gramStart"/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gramEnd"/>
            <w:r w:rsidRPr="004E33C7">
              <w:rPr>
                <w:rFonts w:ascii="Times New Roman" w:hAnsi="Times New Roman" w:cs="Times New Roman"/>
                <w:sz w:val="24"/>
                <w:szCs w:val="24"/>
              </w:rPr>
              <w:t xml:space="preserve"> ЗАТО п. Горный (далее – Комитет по финансам)</w:t>
            </w:r>
          </w:p>
        </w:tc>
      </w:tr>
      <w:tr w:rsidR="004E33C7" w:rsidRPr="004E33C7" w:rsidTr="00611757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E33C7" w:rsidRPr="000A7136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оценки эффективности налоговых расходов городского </w:t>
            </w:r>
            <w:proofErr w:type="gramStart"/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ЗАТО п. Горный Забайкальского края (далее – городской округ)</w:t>
            </w: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Порядком оценки налоговых расходов, утвержд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нным администрацией городского округа ЗАТО п.Горный</w:t>
            </w:r>
          </w:p>
        </w:tc>
        <w:tc>
          <w:tcPr>
            <w:tcW w:w="2336" w:type="dxa"/>
            <w:shd w:val="clear" w:color="auto" w:fill="FFFFFF"/>
            <w:vAlign w:val="center"/>
          </w:tcPr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Ежегодно до 20 августа года, следующего за отч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тным периодом</w:t>
            </w: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Pr="000A7136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7" w:type="dxa"/>
            <w:shd w:val="clear" w:color="auto" w:fill="FFFFFF"/>
            <w:vAlign w:val="center"/>
          </w:tcPr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Комитет по финансам, кураторы налоговых расходов</w:t>
            </w: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Pr="000A7136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33C7" w:rsidRPr="004E33C7" w:rsidTr="00D6316D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E33C7" w:rsidRPr="000A7136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Подготовка проектов решений Думы городского </w:t>
            </w:r>
            <w:proofErr w:type="gramStart"/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proofErr w:type="gramEnd"/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ЗАТО п. Горный (далее – Дума городского округа) </w:t>
            </w: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 отмене неэффективных (невостребованных) налоговых льгот (пониженных ставок) по местным налогам с уч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том результатов провед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нной оценки</w:t>
            </w:r>
          </w:p>
        </w:tc>
        <w:tc>
          <w:tcPr>
            <w:tcW w:w="2336" w:type="dxa"/>
            <w:shd w:val="clear" w:color="auto" w:fill="FFFFFF"/>
            <w:vAlign w:val="center"/>
          </w:tcPr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Ежегодно до 1 сентября года, следующего за отч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тным периодом</w:t>
            </w: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Pr="000A7136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7" w:type="dxa"/>
            <w:shd w:val="clear" w:color="auto" w:fill="FFFFFF"/>
            <w:vAlign w:val="center"/>
          </w:tcPr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Комитет по финансам </w:t>
            </w: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Pr="000A7136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33C7" w:rsidRPr="004E33C7" w:rsidTr="00011ECD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E33C7" w:rsidRPr="000A7136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Включение в состав основных направлений бюджетной и налоговой политики городского округа на очередной финансовый год и плановый период аналитической информации о результатах провед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нной оценки налоговых расходов</w:t>
            </w:r>
          </w:p>
        </w:tc>
        <w:tc>
          <w:tcPr>
            <w:tcW w:w="2336" w:type="dxa"/>
            <w:shd w:val="clear" w:color="auto" w:fill="FFFFFF"/>
            <w:vAlign w:val="center"/>
          </w:tcPr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Ежегодно до 1 ноября года, следующего за отч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тным периодом</w:t>
            </w: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Pr="000A7136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7" w:type="dxa"/>
            <w:shd w:val="clear" w:color="auto" w:fill="FFFFFF"/>
            <w:vAlign w:val="center"/>
          </w:tcPr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Комитет по финансам </w:t>
            </w: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33C7" w:rsidRPr="000A7136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33C7" w:rsidRPr="004E33C7" w:rsidTr="004E33C7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3" w:type="dxa"/>
          </w:tcPr>
          <w:p w:rsidR="004E33C7" w:rsidRPr="004E33C7" w:rsidRDefault="004E33C7" w:rsidP="004E3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</w:tcPr>
          <w:p w:rsidR="004E33C7" w:rsidRPr="004E33C7" w:rsidRDefault="004E33C7" w:rsidP="004E3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:rsidR="004E33C7" w:rsidRPr="004E33C7" w:rsidRDefault="004E33C7" w:rsidP="004E3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33C7" w:rsidRPr="004E33C7" w:rsidTr="004E33C7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253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Проведение оценки эффективности реализации муниципальных программ городского округа с учетом результатов оценки налоговых расходов</w:t>
            </w:r>
          </w:p>
        </w:tc>
        <w:tc>
          <w:tcPr>
            <w:tcW w:w="2336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Ежегодно до 1 мая года, следующего за отчетным периодом</w:t>
            </w:r>
          </w:p>
        </w:tc>
        <w:tc>
          <w:tcPr>
            <w:tcW w:w="2337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Отдел экономики и инвестиционной политики</w:t>
            </w:r>
          </w:p>
        </w:tc>
      </w:tr>
      <w:tr w:rsidR="004E33C7" w:rsidRPr="004E33C7" w:rsidTr="004E33C7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253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Включение при внесении проектов решений Думы городского округа об установлении (изменении) налоговых льгот в состав документов и материалов, прилагаемых к проектам, информации о проектируемых льготах, включая информацию о соответствии целям муниципальных программ и социально-экономического развития</w:t>
            </w:r>
          </w:p>
        </w:tc>
        <w:tc>
          <w:tcPr>
            <w:tcW w:w="2336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 (при внесении проектов)</w:t>
            </w:r>
          </w:p>
        </w:tc>
        <w:tc>
          <w:tcPr>
            <w:tcW w:w="2337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Комитет по финансам, исполнители муниципальных программ</w:t>
            </w:r>
          </w:p>
        </w:tc>
      </w:tr>
      <w:tr w:rsidR="004E33C7" w:rsidRPr="004E33C7" w:rsidTr="00CA0920">
        <w:trPr>
          <w:gridAfter w:val="1"/>
          <w:wAfter w:w="11" w:type="dxa"/>
        </w:trPr>
        <w:tc>
          <w:tcPr>
            <w:tcW w:w="9630" w:type="dxa"/>
            <w:gridSpan w:val="4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Налоговые льготы (пониженные ставки) по местным налогам, предоставляемые на территории городского </w:t>
            </w:r>
            <w:proofErr w:type="gramStart"/>
            <w:r w:rsidRPr="004E33C7">
              <w:rPr>
                <w:rFonts w:ascii="Times New Roman" w:hAnsi="Times New Roman" w:cs="Times New Roman"/>
                <w:b/>
                <w:sz w:val="24"/>
                <w:szCs w:val="24"/>
              </w:rPr>
              <w:t>округа</w:t>
            </w:r>
            <w:proofErr w:type="gramEnd"/>
            <w:r w:rsidRPr="004E3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ЗАТО п. Горный Забайкальского края</w:t>
            </w:r>
          </w:p>
        </w:tc>
      </w:tr>
      <w:tr w:rsidR="004E33C7" w:rsidRPr="004E33C7" w:rsidTr="004E33C7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53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установлению обоснованных эффективных налоговых ставок по земельному налогу и налогу на имущество физических лиц с учетом необходимости увеличения доходов местного бюджета и благоприятного инвестиционного климата</w:t>
            </w:r>
          </w:p>
        </w:tc>
        <w:tc>
          <w:tcPr>
            <w:tcW w:w="2336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Ежегодно до 1 сентября года, следующего за отчетным периодом</w:t>
            </w:r>
          </w:p>
        </w:tc>
        <w:tc>
          <w:tcPr>
            <w:tcW w:w="2337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Отдел ЖКХ, дорожного хозяйства, имущественных и земельных отношений, комитет по финансам</w:t>
            </w:r>
          </w:p>
        </w:tc>
      </w:tr>
      <w:tr w:rsidR="004E33C7" w:rsidRPr="004E33C7" w:rsidTr="004E33C7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53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Проведение анализа установленных решением Думы городского округа налоговых ставок и льгот по земельному налогу и налогу на имущество физических лиц для выявления неэффективных и невостребованных льгот</w:t>
            </w:r>
          </w:p>
        </w:tc>
        <w:tc>
          <w:tcPr>
            <w:tcW w:w="2336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Ежегодно до 1 августа года, следующего за отчетным периодом</w:t>
            </w:r>
          </w:p>
        </w:tc>
        <w:tc>
          <w:tcPr>
            <w:tcW w:w="2337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</w:tr>
      <w:tr w:rsidR="004E33C7" w:rsidRPr="004E33C7" w:rsidTr="00722E0E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E33C7" w:rsidRPr="000A7136" w:rsidRDefault="004E33C7" w:rsidP="004E33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1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анализа налоговой нагрузки на налогоплательщиков по местным налогам и включение предложений в настоящий План (при наличии)</w:t>
            </w:r>
          </w:p>
        </w:tc>
        <w:tc>
          <w:tcPr>
            <w:tcW w:w="2336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Ежегодно до 1 сентября года, следующего за отчетным периодом</w:t>
            </w:r>
          </w:p>
        </w:tc>
        <w:tc>
          <w:tcPr>
            <w:tcW w:w="2337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Комитет по финансам, отдел ЖКХ, дорожного хозяйства, имущественных и земельных отношений</w:t>
            </w:r>
          </w:p>
        </w:tc>
      </w:tr>
      <w:tr w:rsidR="004E33C7" w:rsidRPr="004E33C7" w:rsidTr="004E33C7">
        <w:trPr>
          <w:gridAfter w:val="1"/>
          <w:wAfter w:w="11" w:type="dxa"/>
        </w:trPr>
        <w:tc>
          <w:tcPr>
            <w:tcW w:w="704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53" w:type="dxa"/>
          </w:tcPr>
          <w:p w:rsid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Обеспечение принятия и опубликования (обнародования) решений Думы городского округа об отмене неэффективных (невостребованных) налоговых льгот (пониженных ставок) по местным налогам</w:t>
            </w:r>
          </w:p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Ежегодно до 1 сентября года, следующего за отчетным периодом</w:t>
            </w:r>
          </w:p>
        </w:tc>
        <w:tc>
          <w:tcPr>
            <w:tcW w:w="2337" w:type="dxa"/>
          </w:tcPr>
          <w:p w:rsidR="004E33C7" w:rsidRPr="004E33C7" w:rsidRDefault="004E33C7" w:rsidP="004E3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3C7">
              <w:rPr>
                <w:rFonts w:ascii="Times New Roman" w:hAnsi="Times New Roman" w:cs="Times New Roman"/>
                <w:sz w:val="24"/>
                <w:szCs w:val="24"/>
              </w:rPr>
              <w:t>Дума городского округа, комитет по финансам</w:t>
            </w:r>
          </w:p>
        </w:tc>
      </w:tr>
    </w:tbl>
    <w:p w:rsidR="004E33C7" w:rsidRPr="004E33C7" w:rsidRDefault="004E33C7">
      <w:pPr>
        <w:rPr>
          <w:rFonts w:ascii="Times New Roman" w:hAnsi="Times New Roman" w:cs="Times New Roman"/>
          <w:sz w:val="28"/>
          <w:szCs w:val="28"/>
        </w:rPr>
      </w:pPr>
    </w:p>
    <w:sectPr w:rsidR="004E33C7" w:rsidRPr="004E3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601" w:rsidRDefault="000B2601" w:rsidP="000B2601">
      <w:pPr>
        <w:spacing w:after="0" w:line="240" w:lineRule="auto"/>
      </w:pPr>
      <w:r>
        <w:separator/>
      </w:r>
    </w:p>
  </w:endnote>
  <w:endnote w:type="continuationSeparator" w:id="0">
    <w:p w:rsidR="000B2601" w:rsidRDefault="000B2601" w:rsidP="000B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601" w:rsidRDefault="000B2601" w:rsidP="000B2601">
      <w:pPr>
        <w:spacing w:after="0" w:line="240" w:lineRule="auto"/>
      </w:pPr>
      <w:r>
        <w:separator/>
      </w:r>
    </w:p>
  </w:footnote>
  <w:footnote w:type="continuationSeparator" w:id="0">
    <w:p w:rsidR="000B2601" w:rsidRDefault="000B2601" w:rsidP="000B2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601" w:rsidRDefault="000B2601" w:rsidP="000B2601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D64027"/>
    <w:multiLevelType w:val="hybridMultilevel"/>
    <w:tmpl w:val="0E0EAE46"/>
    <w:lvl w:ilvl="0" w:tplc="114E650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A72"/>
    <w:rsid w:val="000B2601"/>
    <w:rsid w:val="00183FF6"/>
    <w:rsid w:val="00217A72"/>
    <w:rsid w:val="004E33C7"/>
    <w:rsid w:val="00B04882"/>
    <w:rsid w:val="00B135D1"/>
    <w:rsid w:val="00B52749"/>
    <w:rsid w:val="00F3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2623E-347D-471F-8A7A-979606A09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3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33C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B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2601"/>
  </w:style>
  <w:style w:type="paragraph" w:styleId="a7">
    <w:name w:val="footer"/>
    <w:basedOn w:val="a"/>
    <w:link w:val="a8"/>
    <w:uiPriority w:val="99"/>
    <w:unhideWhenUsed/>
    <w:rsid w:val="000B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2601"/>
  </w:style>
  <w:style w:type="paragraph" w:styleId="a9">
    <w:name w:val="Balloon Text"/>
    <w:basedOn w:val="a"/>
    <w:link w:val="aa"/>
    <w:uiPriority w:val="99"/>
    <w:semiHidden/>
    <w:unhideWhenUsed/>
    <w:rsid w:val="00F31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1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2026-07-02T02:18:00Z</cp:lastPrinted>
  <dcterms:created xsi:type="dcterms:W3CDTF">2026-07-02T02:27:00Z</dcterms:created>
  <dcterms:modified xsi:type="dcterms:W3CDTF">2026-07-02T02:27:00Z</dcterms:modified>
</cp:coreProperties>
</file>